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B819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501101</w:t>
      </w:r>
      <w:bookmarkStart w:id="9" w:name="_GoBack"/>
      <w:bookmarkEnd w:id="9"/>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1616F9CF">
      <w:pPr>
        <w:tabs>
          <w:tab w:val="left" w:pos="1985"/>
        </w:tabs>
        <w:rPr>
          <w:rFonts w:ascii="Times New Roman" w:hAnsi="Times New Roman"/>
          <w:b/>
          <w:sz w:val="22"/>
          <w:highlight w:val="none"/>
        </w:rPr>
      </w:pPr>
    </w:p>
    <w:p w14:paraId="52487F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100296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F665BAD">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testability and interoperability for AI/ML for mobility</w:t>
      </w:r>
    </w:p>
    <w:bookmarkEnd w:id="4"/>
    <w:bookmarkEnd w:id="5"/>
    <w:p w14:paraId="2F899A6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F553CB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CCD57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8CA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65B48765">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1E1B0D8C">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6BDFF37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7CF8845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71B936B1">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0F1548FE">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D5B017B">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initial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testability and interoperability for AI/ML for mobility</w:t>
      </w:r>
      <w:r>
        <w:rPr>
          <w:rFonts w:hint="eastAsia" w:ascii="Times New Roman" w:hAnsi="Times New Roman"/>
          <w:sz w:val="20"/>
          <w:szCs w:val="20"/>
        </w:rPr>
        <w:t>.</w:t>
      </w:r>
    </w:p>
    <w:p w14:paraId="17A0436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42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E9D855A">
            <w:pPr>
              <w:pStyle w:val="14"/>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rPr>
              <w:t>Issue 3-</w:t>
            </w:r>
            <w:r>
              <w:rPr>
                <w:rFonts w:hint="default" w:ascii="Times New Roman" w:hAnsi="Times New Roman" w:cs="Times New Roman"/>
                <w:b/>
                <w:bCs/>
                <w:sz w:val="20"/>
                <w:szCs w:val="20"/>
                <w:u w:val="single"/>
                <w:lang w:val="en-US"/>
              </w:rPr>
              <w:t>1</w:t>
            </w:r>
            <w:r>
              <w:rPr>
                <w:rFonts w:hint="default" w:ascii="Times New Roman" w:hAnsi="Times New Roman" w:cs="Times New Roman"/>
                <w:b/>
                <w:bCs/>
                <w:sz w:val="20"/>
                <w:szCs w:val="20"/>
                <w:u w:val="single"/>
              </w:rPr>
              <w:t xml:space="preserve">-1: </w:t>
            </w:r>
            <w:r>
              <w:rPr>
                <w:rFonts w:hint="default" w:ascii="Times New Roman" w:hAnsi="Times New Roman" w:cs="Times New Roman"/>
                <w:b/>
                <w:bCs/>
                <w:sz w:val="20"/>
                <w:szCs w:val="20"/>
                <w:u w:val="single"/>
                <w:lang w:val="en-US"/>
              </w:rPr>
              <w:t>Testing setup</w:t>
            </w:r>
          </w:p>
          <w:p w14:paraId="0C11BF37">
            <w:pPr>
              <w:pStyle w:val="12"/>
              <w:numPr>
                <w:ilvl w:val="0"/>
                <w:numId w:val="4"/>
              </w:numPr>
              <w:overflowPunct/>
              <w:autoSpaceDE/>
              <w:adjustRightInd/>
              <w:spacing w:after="120"/>
              <w:ind w:left="720" w:firstLineChars="0"/>
              <w:textAlignment w:val="auto"/>
              <w:rPr>
                <w:rFonts w:hint="default" w:ascii="Times New Roman" w:hAnsi="Times New Roman" w:eastAsia="宋体" w:cs="Times New Roman"/>
                <w:sz w:val="20"/>
                <w:szCs w:val="20"/>
                <w:highlight w:val="green"/>
              </w:rPr>
            </w:pPr>
            <w:r>
              <w:rPr>
                <w:rFonts w:hint="default" w:ascii="Times New Roman" w:hAnsi="Times New Roman" w:cs="Times New Roman"/>
                <w:sz w:val="20"/>
                <w:szCs w:val="20"/>
                <w:highlight w:val="green"/>
              </w:rPr>
              <w:t>Agreement</w:t>
            </w:r>
          </w:p>
          <w:p w14:paraId="1FE15B94">
            <w:pPr>
              <w:pStyle w:val="12"/>
              <w:numPr>
                <w:ilvl w:val="1"/>
                <w:numId w:val="4"/>
              </w:numPr>
              <w:overflowPunct/>
              <w:autoSpaceDE/>
              <w:adjustRightInd/>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RAN4 to further discuss:</w:t>
            </w:r>
          </w:p>
          <w:p w14:paraId="33DF99C0">
            <w:pPr>
              <w:pStyle w:val="12"/>
              <w:numPr>
                <w:ilvl w:val="2"/>
                <w:numId w:val="4"/>
              </w:numPr>
              <w:overflowPunct/>
              <w:autoSpaceDE/>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highlight w:val="green"/>
              </w:rPr>
              <w:t>Whether and how legacy testing setup for L3 measurements can be reused for FR1 and FR2</w:t>
            </w:r>
          </w:p>
        </w:tc>
      </w:tr>
    </w:tbl>
    <w:p w14:paraId="046B2C4E">
      <w:pPr>
        <w:spacing w:after="180" w:line="240" w:lineRule="exact"/>
        <w:rPr>
          <w:rFonts w:hint="eastAsia" w:ascii="Times New Roman" w:hAnsi="Times New Roman" w:eastAsia="等线"/>
          <w:bCs/>
          <w:iCs/>
          <w:sz w:val="20"/>
          <w:szCs w:val="20"/>
          <w:lang w:val="en-US" w:eastAsia="zh-CN"/>
        </w:rPr>
      </w:pP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According to RAN2 agreements, scenario 2 (intra-frequency intra-cell temporal domain case B prediction) (scenario number 2,5) is evaluated by predicting a sub set of measurement instances in temporal domain of the same cell for FR1. Scenario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xml:space="preserve">. Scenario 4 (intra-frequency intra-cell temporal domain case A prediction) is evaluated by predicting measurement result(s) in prediction window based on actual measurement result(s) in observation window of the same cell for FR1 without reducing any measurement in observation window. </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1</w:t>
            </w:r>
            <w:r>
              <w:rPr>
                <w:rFonts w:hint="default" w:ascii="Times New Roman" w:hAnsi="Times New Roman" w:eastAsia="Yu Mincho" w:cs="Times New Roman"/>
                <w:b/>
                <w:bCs/>
                <w:sz w:val="20"/>
                <w:szCs w:val="20"/>
                <w:vertAlign w:val="superscript"/>
              </w:rPr>
              <w:t>st</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vertAlign w:val="superscript"/>
              </w:rPr>
            </w:pPr>
            <w:r>
              <w:rPr>
                <w:rFonts w:hint="default" w:ascii="Times New Roman" w:hAnsi="Times New Roman" w:eastAsia="Yu Mincho" w:cs="Times New Roman"/>
                <w:b/>
                <w:bCs/>
                <w:sz w:val="20"/>
                <w:szCs w:val="20"/>
                <w:highlight w:val="cyan"/>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1</w:t>
            </w:r>
            <w:r>
              <w:rPr>
                <w:rFonts w:hint="default" w:ascii="Times New Roman" w:hAnsi="Times New Roman" w:eastAsia="Yu Mincho" w:cs="Times New Roman"/>
                <w:b/>
                <w:bCs/>
                <w:sz w:val="20"/>
                <w:szCs w:val="20"/>
                <w:vertAlign w:val="superscript"/>
              </w:rPr>
              <w:t>st</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2</w:t>
            </w:r>
            <w:r>
              <w:rPr>
                <w:rFonts w:hint="default" w:ascii="Times New Roman" w:hAnsi="Times New Roman" w:eastAsia="Yu Mincho" w:cs="Times New Roman"/>
                <w:b/>
                <w:bCs/>
                <w:sz w:val="20"/>
                <w:szCs w:val="20"/>
                <w:vertAlign w:val="superscript"/>
              </w:rPr>
              <w:t>nd</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highlight w:val="cyan"/>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19E53C03">
      <w:pPr>
        <w:spacing w:after="180" w:line="240" w:lineRule="exact"/>
        <w:rPr>
          <w:rFonts w:hint="eastAsia" w:ascii="Times New Roman" w:hAnsi="Times New Roman" w:eastAsia="等线"/>
          <w:bCs/>
          <w:iCs/>
          <w:sz w:val="20"/>
          <w:szCs w:val="20"/>
          <w:lang w:val="en-US" w:eastAsia="zh-CN"/>
        </w:rPr>
      </w:pPr>
    </w:p>
    <w:p w14:paraId="684B55D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RAN2 discussion, there are two approaches about how to perform the prediction, one approach is that both input and output of the model are for one cell, while the other approach is that the input and output are for multiple cells (i.e. cluster-based approach). For cluster-based approach, the RAN2 agreement is that it is up to companies to select the number of cells for input and output (companies should clarify what they are using for cluster-based approach). Cluster-based approach evaluation is optional and lower priority for now. It is proposed that RAN4 can follow RAN2 agreements and focus on the case that the input and output are from one cell.</w:t>
      </w:r>
    </w:p>
    <w:p w14:paraId="73DD59C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highlighted in blue in Table 1, it can be seen that for intra-frequency temporal domain prediction, intra-cell is considered, which means the input and output of the model are from the same cell. In detail, measurements performed within observation window (OW) are used to perdict measurements inside the prediction window (PW) for the same cell. However, in legacy, the mobility test setup are based on two cells, i.e. UE perform measurement of neighbour cell (cell 2) when in connection with serving cell (cell 1). The two-cell setup cannot be directly reused for AI/ML, some modification are needed. </w:t>
      </w:r>
    </w:p>
    <w:p w14:paraId="27409C8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test on </w:t>
      </w:r>
      <w:r>
        <w:rPr>
          <w:rFonts w:hint="default" w:ascii="Times New Roman" w:hAnsi="Times New Roman" w:eastAsia="Yu Mincho" w:cs="Times New Roman"/>
          <w:b/>
          <w:bCs w:val="0"/>
          <w:i/>
          <w:iCs w:val="0"/>
          <w:sz w:val="20"/>
          <w:szCs w:val="20"/>
        </w:rPr>
        <w:t>intra-frequency temporal domain</w:t>
      </w:r>
      <w:r>
        <w:rPr>
          <w:rFonts w:hint="eastAsia" w:ascii="Times New Roman" w:hAnsi="Times New Roman" w:cs="Times New Roman"/>
          <w:b/>
          <w:bCs w:val="0"/>
          <w:i/>
          <w:iCs w:val="0"/>
          <w:sz w:val="20"/>
          <w:szCs w:val="20"/>
          <w:lang w:val="en-US" w:eastAsia="zh-CN"/>
        </w:rPr>
        <w:t xml:space="preserve"> prediction</w:t>
      </w:r>
      <w:r>
        <w:rPr>
          <w:rFonts w:hint="eastAsia" w:ascii="Times New Roman" w:hAnsi="Times New Roman" w:eastAsia="等线"/>
          <w:b/>
          <w:bCs w:val="0"/>
          <w:i/>
          <w:iCs w:val="0"/>
          <w:sz w:val="20"/>
          <w:szCs w:val="20"/>
          <w:lang w:val="en-US" w:eastAsia="zh-CN"/>
        </w:rPr>
        <w:t xml:space="preserve">tes (scenario 2 and 4), the test setup for legacy mobility can be used as baseline but with modification, since test setup for legacy mobility is based on two cells while AI/ML test targets for intra-cell.     </w:t>
      </w:r>
    </w:p>
    <w:p w14:paraId="4AB1AFA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scenrio 3 (FR1 to FR1 inter-frequency frequency domain prediction), measurements performed for one cell  are used to perdict measurements for another cell. As discussed above, legacy inter-frequency mobility tests are based on two cells, which seems can be reused for AI/ML. However, it is noticed that according to RAN2 discussion, for inter-frequency, cluster as input (i.e. measurements from different cells as inputs ) can improve the prediction accuracy than single cell as input. RAN2 will focus on frequency domain for cluster based approach. Taking above into account, RAN4 need to consider the test for cluster based approach, which seems legacy test setup caanot be reused.</w:t>
      </w:r>
    </w:p>
    <w:p w14:paraId="0B6852A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test on inter-frequency frequency domain prediction (scenario 3), it is proposed to discuss whether leagcy test setup based on two cells can be used as baseline for cluster based approach, since RAN2 agree to focus on frequency domain for cluster based approach.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34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BF7ED1E">
            <w:pPr>
              <w:pStyle w:val="14"/>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3-1-4: Ground Truth derivation</w:t>
            </w:r>
          </w:p>
          <w:p w14:paraId="21507E41">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28083BE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(CMCC</w:t>
            </w:r>
            <w:r>
              <w:rPr>
                <w:rFonts w:hint="default" w:ascii="Times New Roman" w:hAnsi="Times New Roman" w:cs="Times New Roman" w:eastAsiaTheme="minorEastAsia"/>
                <w:sz w:val="20"/>
                <w:szCs w:val="20"/>
                <w:lang w:eastAsia="zh-CN"/>
              </w:rPr>
              <w:t>, CATT</w:t>
            </w:r>
            <w:r>
              <w:rPr>
                <w:rFonts w:hint="default" w:ascii="Times New Roman" w:hAnsi="Times New Roman" w:eastAsia="Yu Mincho" w:cs="Times New Roman"/>
                <w:sz w:val="20"/>
                <w:szCs w:val="20"/>
              </w:rPr>
              <w:t xml:space="preserve">): </w:t>
            </w:r>
          </w:p>
          <w:p w14:paraId="5EEE36C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FR1 AI/ML mobility, it is proposed that the ground truth is the transmit power settled by TE.  </w:t>
            </w:r>
          </w:p>
          <w:p w14:paraId="73B741EF">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(Ericsson):</w:t>
            </w:r>
          </w:p>
          <w:p w14:paraId="5869540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discuss considerations for deriving the ground truth value for validation of the accuracy of predicted measurements.</w:t>
            </w:r>
          </w:p>
          <w:p w14:paraId="3A04B3B7">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(Qualcomm):</w:t>
            </w:r>
          </w:p>
          <w:p w14:paraId="616F3FE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further study the impact of time-varying channels and SNR due to fading and UE mobility on the definition of expected RRM measurement result.</w:t>
            </w:r>
          </w:p>
          <w:p w14:paraId="50246058">
            <w:pPr>
              <w:pStyle w:val="12"/>
              <w:numPr>
                <w:ilvl w:val="2"/>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Regarding the ground truth of AI/ML-based RRM prediction, either the actual measurement report or the expected value calculated based on the test configuration, if FR1, would be feasible.</w:t>
            </w:r>
          </w:p>
        </w:tc>
      </w:tr>
    </w:tbl>
    <w:p w14:paraId="58302FE3">
      <w:pPr>
        <w:spacing w:after="180" w:line="240" w:lineRule="exact"/>
        <w:rPr>
          <w:rFonts w:hint="eastAsia" w:ascii="Times New Roman" w:hAnsi="Times New Roman" w:eastAsia="等线"/>
          <w:bCs/>
          <w:iCs/>
          <w:sz w:val="20"/>
          <w:szCs w:val="20"/>
          <w:lang w:val="en-US" w:eastAsia="zh-CN"/>
        </w:rPr>
      </w:pPr>
    </w:p>
    <w:p w14:paraId="09F900C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was agreed to consider conducted testing as baseline for testing in FR1. In legacy conducted test, the ground truth is the transmit power which can be settled by TE, which means that ground truth is available. Similar approach can be used for FR1 AI/ML mobility.</w:t>
      </w:r>
    </w:p>
    <w:p w14:paraId="28BB515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AI/ML mobility, it is proposed that the ground truth is the transmit power settled by TE.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2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F01675">
            <w:pPr>
              <w:pStyle w:val="14"/>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3-2-2: Principle of FR2 testing</w:t>
            </w:r>
          </w:p>
          <w:p w14:paraId="1C9A46DF">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59D8D9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(vivo): </w:t>
            </w:r>
          </w:p>
          <w:p w14:paraId="684E872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consider OTA testing for FR2 (scenario 4) and using one probe to emulate different Tx beams by applying different power for AI mobility FR2 beam level test for one cell.</w:t>
            </w:r>
          </w:p>
          <w:p w14:paraId="27A3586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(Qualcomm):</w:t>
            </w:r>
          </w:p>
          <w:p w14:paraId="4082551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Regarding the uncertainty due to the UE Rx beam gain and spherical coverage in FR2 AI/ML-based RRM prediction, RAN4 to wait and see the outcome of the simulation campaign from AI/ML-based BM and try to leverage the results and observations to the extent possible</w:t>
            </w:r>
          </w:p>
          <w:p w14:paraId="6306EA48">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3 (Xiaomi, Samsung): </w:t>
            </w:r>
          </w:p>
          <w:p w14:paraId="1B56BC5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iCs/>
                <w:sz w:val="20"/>
                <w:szCs w:val="20"/>
              </w:rPr>
              <w:t>For FR2 measurement prediction, conclusions on testability that RAN4 made for AI/ML BM can be taken as a baseline.</w:t>
            </w:r>
          </w:p>
          <w:p w14:paraId="698392C4">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iCs/>
                <w:sz w:val="20"/>
                <w:szCs w:val="20"/>
              </w:rPr>
              <w:t>Proposal 4 (Nokia):</w:t>
            </w:r>
          </w:p>
          <w:p w14:paraId="77A2688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FR2, the under-study testing setup in AI/ML BM use case should be reused as a baseline for measurement prediction use case testing.</w:t>
            </w:r>
          </w:p>
          <w:p w14:paraId="2C900E0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should consider new aspects for FR2 testing in AI/ML mobility such as channel model, number of AoAs, maximum number of cells and Tx beams and number of probes required in the test chamber.</w:t>
            </w:r>
          </w:p>
          <w:p w14:paraId="2D7620FE">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5 (CATT): </w:t>
            </w:r>
          </w:p>
          <w:p w14:paraId="27DC87F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postpone discussion on test set up in FR2 until sufficient progress is made in AI/ML BM.</w:t>
            </w:r>
          </w:p>
          <w:p w14:paraId="5257EFF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6 (OPPO):</w:t>
            </w:r>
          </w:p>
          <w:p w14:paraId="63618A5D">
            <w:pPr>
              <w:numPr>
                <w:ilvl w:val="2"/>
                <w:numId w:val="4"/>
              </w:numPr>
              <w:snapToGrid w:val="0"/>
              <w:spacing w:before="120" w:after="12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For FR2 prediction, proposals and conclusions that RAN4 made for AI BM can be reused, e.g., whether the chamber in OTA testing can be utilized and how to utilize/revise it.</w:t>
            </w:r>
          </w:p>
        </w:tc>
      </w:tr>
    </w:tbl>
    <w:p w14:paraId="4F2CCC21">
      <w:pPr>
        <w:spacing w:after="180" w:line="240" w:lineRule="exact"/>
        <w:rPr>
          <w:rFonts w:hint="eastAsia" w:ascii="Times New Roman" w:hAnsi="Times New Roman" w:eastAsia="等线"/>
          <w:bCs/>
          <w:iCs/>
          <w:sz w:val="20"/>
          <w:szCs w:val="20"/>
          <w:lang w:val="en-US" w:eastAsia="zh-CN"/>
        </w:rPr>
      </w:pPr>
    </w:p>
    <w:p w14:paraId="1BEA588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scenario 4, 5, 6 are for FR2 intra-frequency including time domain prediction and spatial domain prediction. Those cases are similar as that for AI/ML BM use case. AI/ML BM use case include two case: BM-Case1: Spatial-domain Downlink beam prediction for Set A of beams based on measurement results of Set B of beams, BM-Case2: Temporal Downlink beam prediction for Set A of beams based on the historic measurement results of Set B of beams. And test setup and methodology for the beam management, e.g. single AoA vs multiple AoA(s) are under discussion in AI/ML BM use case. Considering that the situation for AI/ML Mobility testing in FR2 is similar as that for AI/ML BM use case, the conclusion of later one can be used as baseline.</w:t>
      </w:r>
    </w:p>
    <w:p w14:paraId="789EC38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AI/ML Mobility testing in FR2, it is proposed to take the outcome of AI/ML BM use case as baseline. </w:t>
      </w:r>
    </w:p>
    <w:p w14:paraId="2DA35C25">
      <w:pPr>
        <w:spacing w:after="180" w:line="240" w:lineRule="exact"/>
        <w:rPr>
          <w:rFonts w:hint="eastAsia" w:ascii="Times New Roman" w:hAnsi="Times New Roman" w:eastAsia="等线"/>
          <w:bCs/>
          <w:iCs/>
          <w:sz w:val="20"/>
          <w:szCs w:val="20"/>
          <w:lang w:val="en-US" w:eastAsia="zh-CN"/>
        </w:rPr>
      </w:pPr>
    </w:p>
    <w:bookmarkEnd w:id="7"/>
    <w:bookmarkEnd w:id="8"/>
    <w:p w14:paraId="5C18422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6404C5E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testability and interoperability for AI/ML for mobility</w:t>
      </w:r>
      <w:r>
        <w:rPr>
          <w:rFonts w:hint="eastAsia" w:ascii="Times New Roman" w:hAnsi="Times New Roman"/>
          <w:sz w:val="20"/>
          <w:szCs w:val="20"/>
        </w:rPr>
        <w:t>. The proposals are:</w:t>
      </w:r>
    </w:p>
    <w:p w14:paraId="1F253CD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test on </w:t>
      </w:r>
      <w:r>
        <w:rPr>
          <w:rFonts w:hint="default" w:ascii="Times New Roman" w:hAnsi="Times New Roman" w:eastAsia="Yu Mincho" w:cs="Times New Roman"/>
          <w:b/>
          <w:bCs w:val="0"/>
          <w:i/>
          <w:iCs w:val="0"/>
          <w:sz w:val="20"/>
          <w:szCs w:val="20"/>
        </w:rPr>
        <w:t>intra-frequency temporal domain</w:t>
      </w:r>
      <w:r>
        <w:rPr>
          <w:rFonts w:hint="eastAsia" w:ascii="Times New Roman" w:hAnsi="Times New Roman" w:cs="Times New Roman"/>
          <w:b/>
          <w:bCs w:val="0"/>
          <w:i/>
          <w:iCs w:val="0"/>
          <w:sz w:val="20"/>
          <w:szCs w:val="20"/>
          <w:lang w:val="en-US" w:eastAsia="zh-CN"/>
        </w:rPr>
        <w:t xml:space="preserve"> prediction</w:t>
      </w:r>
      <w:r>
        <w:rPr>
          <w:rFonts w:hint="eastAsia" w:ascii="Times New Roman" w:hAnsi="Times New Roman" w:eastAsia="等线"/>
          <w:b/>
          <w:bCs w:val="0"/>
          <w:i/>
          <w:iCs w:val="0"/>
          <w:sz w:val="20"/>
          <w:szCs w:val="20"/>
          <w:lang w:val="en-US" w:eastAsia="zh-CN"/>
        </w:rPr>
        <w:t xml:space="preserve">tes (scenario 2 and 4), the test setup for legacy mobility can be used as baseline but with modification, since test setup for legacy mobility is based on two cells while AI/ML test targets for intra-cell.     </w:t>
      </w:r>
    </w:p>
    <w:p w14:paraId="2B561CD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test on inter-frequency frequency domain prediction (scenario 3), it is proposed to discuss whether leagcy test setup based on two cells can be used as baseline for cluster based approach, since RAN2 agree to focus on frequency domain for cluster based approach.   </w:t>
      </w:r>
    </w:p>
    <w:p w14:paraId="5A0BFFC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AI/ML mobility, it is proposed that the ground truth is the transmit power settled by TE.  </w:t>
      </w:r>
    </w:p>
    <w:p w14:paraId="2403700B">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4: for AI/ML Mobility testing in FR2, it is proposed to take the outcome of AI/ML BM use case as baseline. </w:t>
      </w:r>
    </w:p>
    <w:p w14:paraId="0909EFC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FE89547">
      <w:pPr>
        <w:pStyle w:val="13"/>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03C37C82">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16010951">
      <w:pPr>
        <w:pStyle w:val="13"/>
        <w:framePr w:wrap="auto" w:vAnchor="margin" w:hAnchor="text" w:yAlign="inline"/>
        <w:numPr>
          <w:ilvl w:val="0"/>
          <w:numId w:val="5"/>
        </w:numPr>
        <w:ind w:right="400"/>
        <w:jc w:val="both"/>
        <w:rPr>
          <w:rFonts w:ascii="Times" w:hAnsi="Times" w:eastAsia="宋体"/>
          <w:b w:val="0"/>
          <w:sz w:val="20"/>
          <w:lang w:eastAsia="zh-CN"/>
        </w:rPr>
      </w:pPr>
    </w:p>
    <w:p w14:paraId="3EBB326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462A2A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R4-2414323</w:t>
      </w:r>
      <w:r>
        <w:rPr>
          <w:rFonts w:hint="eastAsia" w:ascii="Times" w:hAnsi="Times" w:eastAsia="宋体"/>
          <w:b w:val="0"/>
          <w:sz w:val="20"/>
          <w:lang w:val="en-US" w:eastAsia="zh-CN"/>
        </w:rPr>
        <w:t>, WF on AI/ML, Qualcomm Incorporated</w:t>
      </w:r>
    </w:p>
    <w:p w14:paraId="634AEE24">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7CE58C5C">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56A47A8">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0C38F9A5">
      <w:pPr>
        <w:pStyle w:val="13"/>
        <w:framePr w:wrap="auto" w:vAnchor="margin" w:hAnchor="text" w:yAlign="inline"/>
        <w:ind w:right="400"/>
        <w:jc w:val="both"/>
        <w:rPr>
          <w:rFonts w:ascii="Times" w:hAnsi="Times" w:eastAsia="宋体"/>
          <w:b w:val="0"/>
          <w:sz w:val="20"/>
          <w:lang w:eastAsia="zh-CN"/>
        </w:rPr>
      </w:pPr>
    </w:p>
    <w:p w14:paraId="5AD85129">
      <w:pPr>
        <w:pStyle w:val="13"/>
        <w:framePr w:wrap="auto" w:vAnchor="margin" w:hAnchor="text" w:yAlign="inline"/>
        <w:ind w:right="400"/>
        <w:jc w:val="both"/>
        <w:rPr>
          <w:rFonts w:ascii="Times" w:hAnsi="Times" w:eastAsia="宋体"/>
          <w:b w:val="0"/>
          <w:sz w:val="20"/>
          <w:lang w:eastAsia="zh-CN"/>
        </w:rPr>
      </w:pPr>
    </w:p>
    <w:p w14:paraId="20399D51">
      <w:pPr>
        <w:pStyle w:val="13"/>
        <w:framePr w:wrap="auto" w:vAnchor="margin" w:hAnchor="text" w:yAlign="inline"/>
        <w:ind w:right="400"/>
        <w:jc w:val="both"/>
        <w:rPr>
          <w:rFonts w:hint="eastAsia" w:ascii="Times" w:hAnsi="Times" w:eastAsia="宋体"/>
          <w:b w:val="0"/>
          <w:sz w:val="20"/>
          <w:lang w:val="en-US" w:eastAsia="zh-CN"/>
        </w:rPr>
      </w:pPr>
    </w:p>
    <w:p w14:paraId="3E731C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23534"/>
    <w:rsid w:val="039B37C7"/>
    <w:rsid w:val="03B64756"/>
    <w:rsid w:val="05581271"/>
    <w:rsid w:val="089944A9"/>
    <w:rsid w:val="095F3199"/>
    <w:rsid w:val="0C360518"/>
    <w:rsid w:val="0D4E5761"/>
    <w:rsid w:val="138C7281"/>
    <w:rsid w:val="13E54515"/>
    <w:rsid w:val="154B4C98"/>
    <w:rsid w:val="17722603"/>
    <w:rsid w:val="17AD1EBF"/>
    <w:rsid w:val="1E262080"/>
    <w:rsid w:val="1EA13FCF"/>
    <w:rsid w:val="20E821F8"/>
    <w:rsid w:val="21F229A5"/>
    <w:rsid w:val="22F84732"/>
    <w:rsid w:val="24E9569E"/>
    <w:rsid w:val="296A6325"/>
    <w:rsid w:val="2BD36B73"/>
    <w:rsid w:val="2C0003B4"/>
    <w:rsid w:val="2C963514"/>
    <w:rsid w:val="2F0E7FC2"/>
    <w:rsid w:val="31B53264"/>
    <w:rsid w:val="39A706A6"/>
    <w:rsid w:val="3AF811CC"/>
    <w:rsid w:val="411917F4"/>
    <w:rsid w:val="41395AA3"/>
    <w:rsid w:val="41597CC1"/>
    <w:rsid w:val="42566B61"/>
    <w:rsid w:val="45251780"/>
    <w:rsid w:val="457B600C"/>
    <w:rsid w:val="486C7D0F"/>
    <w:rsid w:val="48BD345D"/>
    <w:rsid w:val="495B36DC"/>
    <w:rsid w:val="4F01352B"/>
    <w:rsid w:val="4FEB696F"/>
    <w:rsid w:val="521A547C"/>
    <w:rsid w:val="56582839"/>
    <w:rsid w:val="59A65848"/>
    <w:rsid w:val="5C491F27"/>
    <w:rsid w:val="61DF3A9F"/>
    <w:rsid w:val="62D556ED"/>
    <w:rsid w:val="63D0170C"/>
    <w:rsid w:val="676E7F3D"/>
    <w:rsid w:val="67A4673A"/>
    <w:rsid w:val="68D8170E"/>
    <w:rsid w:val="6C642F64"/>
    <w:rsid w:val="71A82806"/>
    <w:rsid w:val="73C17630"/>
    <w:rsid w:val="77B91A3C"/>
    <w:rsid w:val="77F160D3"/>
    <w:rsid w:val="79EA0896"/>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